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CC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DB41CC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президиума  </w:t>
      </w:r>
    </w:p>
    <w:p w:rsidR="00DB41CC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 областной организации  </w:t>
      </w:r>
    </w:p>
    <w:p w:rsidR="00DB41CC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Профсоюза образования </w:t>
      </w:r>
    </w:p>
    <w:p w:rsidR="00C9201D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2025 г.  № 02</w:t>
      </w:r>
    </w:p>
    <w:p w:rsidR="00DB41CC" w:rsidRPr="00DB41CC" w:rsidRDefault="00DB41CC" w:rsidP="00DB4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ПОЛОЖЕНИЕ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соревнованиях  по мини-футболу</w:t>
      </w:r>
    </w:p>
    <w:p w:rsidR="00C9201D" w:rsidRPr="00C9201D" w:rsidRDefault="00C9201D" w:rsidP="00C920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Кубок </w:t>
      </w:r>
      <w:r w:rsidRPr="00C9201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Воронежской  областной организации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Общероссийского Профсоюза образования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проведения соревнований по мини-футболу на Кубок  </w:t>
      </w:r>
      <w:r w:rsidRPr="00C920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Воронежской областной организации Общероссийского  Профсоюза образования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территориальных организаций Профсоюза, первичных профсоюзных организаций высшего и среднего профессионального образования   являются:</w:t>
      </w:r>
    </w:p>
    <w:p w:rsidR="00C9201D" w:rsidRPr="00C9201D" w:rsidRDefault="00C9201D" w:rsidP="00C92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формирование позитивных жизненных установок, гражданское и патриотическое воспитание участников соревнований;</w:t>
      </w:r>
    </w:p>
    <w:p w:rsidR="00C9201D" w:rsidRPr="00C9201D" w:rsidRDefault="00C9201D" w:rsidP="00C9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привлечение членов Профсоюза - работников сферы образования и науки к регулярным занятиям физической культурой и спортом;</w:t>
      </w:r>
    </w:p>
    <w:p w:rsidR="00C9201D" w:rsidRPr="00C9201D" w:rsidRDefault="00C9201D" w:rsidP="00C92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досуговой потребности у членов Профсоюза - работников народного образования и науки;</w:t>
      </w:r>
    </w:p>
    <w:p w:rsidR="00C9201D" w:rsidRPr="00C9201D" w:rsidRDefault="00C9201D" w:rsidP="00C9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популяризация физической культуры и спорта.</w:t>
      </w:r>
    </w:p>
    <w:p w:rsidR="00C9201D" w:rsidRPr="00C9201D" w:rsidRDefault="00C9201D" w:rsidP="00C92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соревнований должны быть члены Профсоюза -  работники образовательных организаций.</w:t>
      </w:r>
    </w:p>
    <w:p w:rsidR="00C9201D" w:rsidRPr="00C9201D" w:rsidRDefault="00C9201D" w:rsidP="00C92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соревнованиям не допускаются спортсмены, имеющие профессиональные контракты. </w:t>
      </w:r>
    </w:p>
    <w:p w:rsidR="00C9201D" w:rsidRPr="00C9201D" w:rsidRDefault="00C9201D" w:rsidP="00C9201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 ПРОВЕДЕНИЯ</w:t>
      </w:r>
      <w:proofErr w:type="gramEnd"/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СОРЕВНОВАНИЙ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два этапа.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по мини-футболу  проводится организациями Профсоюза    как самостоятельно, так и совместно с органами местного самоуправления, осуществляющими управление в сфере образования,  по зонам: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«Северная» – районы г. Воронежа,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Семилукский,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районы; 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«Западная» – г.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Каменский, Каширский,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районы;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«Восточная» – г. Борисоглебск, Аннинский, Грибановский,</w:t>
      </w:r>
      <w:r w:rsidRPr="00C92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Терновский,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районы;</w:t>
      </w:r>
      <w:proofErr w:type="gramEnd"/>
    </w:p>
    <w:p w:rsidR="00C9201D" w:rsidRPr="00C9201D" w:rsidRDefault="00C9201D" w:rsidP="00C9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«Южная» –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Кантемировский,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Подгоренский,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районы;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«Центральная»  – Бобровский,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</w:t>
      </w:r>
      <w:proofErr w:type="spell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Павловский, Петропавловский районы;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«ВУЗы»  – ВГТУ, ВГУИТ, ВГЛТУ, ВГПУ. 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команды, занявшие первые места в зонах.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по мини-футболу проводится Воронежской областной организацией Общероссийского Профсоюза  образования. </w:t>
      </w:r>
    </w:p>
    <w:p w:rsidR="00C9201D" w:rsidRPr="00C9201D" w:rsidRDefault="00C9201D" w:rsidP="00C92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СОРЕВНОВАНИЙ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проведением областных соревнований осуществляет Воронежская  областная организация Общероссийского  Профсоюза образования  при участии территориальных организаций Профсоюза и первичных профсоюзных организаций высшего и среднего профессионального образования.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команд в соревнованиях  (проезд к месту проведения и обратно, питание в день соревнований), осуществляют  районные, городские и первичные профсоюзные организации высшего и среднего профессионального образования из собственных сре</w:t>
      </w:r>
      <w:proofErr w:type="gram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офсоюзного бюджета (членских взносов). 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 награждению победителей и призёров соревнований осуществляются за счёт сре</w:t>
      </w:r>
      <w:proofErr w:type="gram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офсоюзного бюджета (членских взносов) Воронежской областной организации.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на вручение кубков и медалей (Приложение 3,4) составляются Воронежской областной организацией.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201D" w:rsidRPr="00C9201D" w:rsidRDefault="00C9201D" w:rsidP="00C920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01D">
        <w:rPr>
          <w:rFonts w:ascii="Times New Roman" w:eastAsia="Calibri" w:hAnsi="Times New Roman" w:cs="Times New Roman"/>
          <w:sz w:val="28"/>
          <w:szCs w:val="28"/>
        </w:rPr>
        <w:t>К участию в соревнованиях допускаются сборные команды на основании  поданных заявок (Приложение 1).</w:t>
      </w:r>
      <w:r w:rsidRPr="00C9201D">
        <w:rPr>
          <w:rFonts w:ascii="Calibri" w:eastAsia="Calibri" w:hAnsi="Calibri" w:cs="Times New Roman"/>
          <w:sz w:val="26"/>
          <w:szCs w:val="26"/>
        </w:rPr>
        <w:t xml:space="preserve"> </w:t>
      </w:r>
      <w:r w:rsidRPr="00C9201D">
        <w:rPr>
          <w:rFonts w:ascii="Times New Roman" w:eastAsia="Calibri" w:hAnsi="Times New Roman" w:cs="Times New Roman"/>
          <w:sz w:val="28"/>
          <w:szCs w:val="28"/>
        </w:rPr>
        <w:t>Заявка, подписанная председателем профсоюзной организации, подаётся в областную организацию Профсоюза в день соревнований по прибытии команды.</w:t>
      </w:r>
      <w:r w:rsidRPr="00C9201D">
        <w:rPr>
          <w:rFonts w:ascii="Calibri" w:eastAsia="Calibri" w:hAnsi="Calibri" w:cs="Times New Roman"/>
          <w:sz w:val="26"/>
          <w:szCs w:val="26"/>
        </w:rPr>
        <w:t xml:space="preserve">  </w:t>
      </w:r>
      <w:r w:rsidRPr="00C9201D">
        <w:rPr>
          <w:rFonts w:ascii="Times New Roman" w:eastAsia="Calibri" w:hAnsi="Times New Roman" w:cs="Times New Roman"/>
          <w:sz w:val="26"/>
          <w:szCs w:val="26"/>
        </w:rPr>
        <w:t>В</w:t>
      </w:r>
      <w:r w:rsidRPr="00C9201D">
        <w:rPr>
          <w:rFonts w:ascii="Times New Roman" w:eastAsia="Calibri" w:hAnsi="Times New Roman" w:cs="Times New Roman"/>
          <w:sz w:val="28"/>
          <w:szCs w:val="28"/>
        </w:rPr>
        <w:t xml:space="preserve"> заявку разрешено вносить не более 10 игроков.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участников осуществляет главная судейская коллегия соревнований. Все участники соревнований должны</w:t>
      </w:r>
      <w:r w:rsidRPr="00C92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медицинский осмотр, оформить допуск врача  и иметь при себе: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страховой полис.</w:t>
      </w:r>
    </w:p>
    <w:p w:rsidR="00C9201D" w:rsidRPr="00C9201D" w:rsidRDefault="00C9201D" w:rsidP="00C920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ПРОВЕДЕНИЯ </w:t>
      </w:r>
      <w:proofErr w:type="gramStart"/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ПОДВЕДЕНИЯ</w:t>
      </w:r>
      <w:proofErr w:type="gramEnd"/>
      <w:r w:rsidRPr="00C92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ИТОГОВ</w:t>
      </w:r>
    </w:p>
    <w:p w:rsidR="00C9201D" w:rsidRPr="00C9201D" w:rsidRDefault="00C9201D" w:rsidP="00C9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по действующим правилам игры в мини-футбол ФИФА </w:t>
      </w:r>
      <w:r w:rsidRPr="00C9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 графиком. По окончании игр составляются протоколы</w:t>
      </w:r>
      <w:r w:rsidRPr="00C9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соревнований. По итогам турнира составляется итоговый протокол.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игры два тайма по 15 (10) минут каждый с одним 5-минутным перерывом. За победу команда получает 3 очка, за ничью – 1 очко, за поражение – 0 очков. </w:t>
      </w:r>
    </w:p>
    <w:p w:rsidR="00C9201D" w:rsidRPr="00C9201D" w:rsidRDefault="00C9201D" w:rsidP="00C9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команде засчитывается поражение со счётом 0:3, сопернику – победа 3:0. В случае повторной неявки команда снимается с соревнований  и очки с её участием аннулируются, место ей не определяется.</w:t>
      </w:r>
    </w:p>
    <w:p w:rsidR="00CC5EB0" w:rsidRDefault="00C9201D" w:rsidP="00C9201D"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очков у двух и более команд  места </w:t>
      </w:r>
      <w:proofErr w:type="spellStart"/>
      <w:r w:rsidRPr="00C9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proofErr w:type="spellEnd"/>
    </w:p>
    <w:sectPr w:rsidR="00CC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EB"/>
    <w:rsid w:val="003625C7"/>
    <w:rsid w:val="006438EB"/>
    <w:rsid w:val="00C9201D"/>
    <w:rsid w:val="00CC5EB0"/>
    <w:rsid w:val="00D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2025-01-31T06:49:00Z</dcterms:created>
  <dcterms:modified xsi:type="dcterms:W3CDTF">2025-02-03T01:15:00Z</dcterms:modified>
</cp:coreProperties>
</file>